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-276225</wp:posOffset>
            </wp:positionV>
            <wp:extent cx="1494790" cy="850900"/>
            <wp:effectExtent l="0" t="0" r="0" b="0"/>
            <wp:wrapSquare wrapText="bothSides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КАЛЕНДАР ЗМАГАНЬ КУБКА УКРАЇНИ-</w:t>
      </w:r>
      <w:r>
        <w:rPr>
          <w:rFonts w:cs="Times New Roman" w:ascii="Times New Roman" w:hAnsi="Times New Roman"/>
          <w:b/>
          <w:sz w:val="28"/>
          <w:lang w:val="uk-UA"/>
        </w:rPr>
        <w:t>2025-26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ЧОЛОВІКИ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Ігри І – ІІІ етапів формуються за регіональним принципом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І етап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1893"/>
        <w:gridCol w:w="3273"/>
        <w:gridCol w:w="3335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Подільскі скелі (Кам’янець-Подільский)                                           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Академія ЕПІЦЕНТР-ПОДОЛЯНИ-Збірна України U-16- ІФНТУНГ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Великокучурівська ТГ (Чернівці)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ОСДЮСШ-ШВСМ (Вінниця)               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Кроп (Кропивницький)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Торнадо (Запоріжжя)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Збірна Полтавської області-ВК Решетилівка-3                                                                                                   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Калинівка (Київська обл.)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Боярка (Боярка)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11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ru-RU"/>
              </w:rPr>
              <w:t>12</w:t>
            </w:r>
            <w:r>
              <w:rPr>
                <w:rFonts w:cs="Times New Roman" w:ascii="Times New Roman" w:hAnsi="Times New Roman"/>
                <w:b/>
                <w:lang w:val="uk-UA"/>
              </w:rPr>
              <w:t>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Ірпінь-Молодість (Ірпінь)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Локомотив (Київ)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Група Патріот (Боярка)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Ємільчене 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/>
                <w:sz w:val="24"/>
              </w:rPr>
              <w:t>Житомирська обл.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УНІВЕРСИТЕТ Лесі Українки (Луцьк)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АЖІОТАЖ (Львів)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bookmarkStart w:id="0" w:name="__DdeLink__919_81927665"/>
            <w:r>
              <w:rPr>
                <w:rFonts w:cs="Times New Roman" w:ascii="Times New Roman" w:hAnsi="Times New Roman"/>
                <w:b/>
                <w:sz w:val="24"/>
              </w:rPr>
              <w:t>НУФВСУ (Київ)</w:t>
            </w:r>
            <w:bookmarkEnd w:id="0"/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ДОНЕЧЧИНА (Бахмут)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 етап  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1893"/>
        <w:gridCol w:w="3273"/>
        <w:gridCol w:w="3335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4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.10</w:t>
            </w: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 xml:space="preserve"> –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5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КОНТІНЕНТАЛ (Сторожинець)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Олімп (Борщів)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 xml:space="preserve">ВК ГОРІШ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(Делятинська ТГ)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Академія ЕПІЦЕНТР-ПОДОЛЯНИ-Збірна України U-16- ІФНТУНГ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УжНУ-збірна Закарпатської області (Ужгород)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 xml:space="preserve">ХНУ Повітряних сил ім.Івана Кожедуба (Харків)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Патріот-Амбер Гальбин-Рівне (Рівне)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Житомирський агротехнічний фаховий коледж (Житомир)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4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.10</w:t>
            </w: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 xml:space="preserve"> –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5</w:t>
            </w:r>
            <w:r>
              <w:rPr>
                <w:rFonts w:cs="Times New Roman" w:ascii="Times New Roman" w:hAnsi="Times New Roman"/>
                <w:b/>
                <w:szCs w:val="26"/>
                <w:lang w:val="ru-RU"/>
              </w:rPr>
              <w:t>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Кроп (Кропивницький)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/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ДИНАМО (Кривий Ріг)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Калинівка (Київська обл.)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Локомотив 1945 (Харків)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Збірна Полтавської області-ВК Решетилівка-2 (Решетилівка)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Боярка (Боярка)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МЕТЕОР-ІНВАСПОРТ (Київ)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Ірпінь-Молодість (Ірпінь)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ВК ПОКУТТЯ (Снятин)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Поліція охорони-ЗУНУ-ШВСМ-ДИНАМО-2 (Тернопіль)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МХП-КОЛОС (м.Вінниця)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Група Патріот (Боярка)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БУЛАВА-ПОДОРОЖНИК (Львів)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АЖІОТАЖ (Львів)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Столична-НУБІП (Київ)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НУФВСУ (Київ)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ІІІ етап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1893"/>
        <w:gridCol w:w="3273"/>
        <w:gridCol w:w="3335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4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4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>V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 xml:space="preserve"> та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>етапу КУБКУ України відбудуться згідно попередньо проведеного жеребкування</w:t>
      </w:r>
      <w:bookmarkStart w:id="1" w:name="_GoBack"/>
      <w:bookmarkEnd w:id="1"/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67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Trio_Office/6.2.8.2$Windows_x86 LibreOffice_project/</Application>
  <Pages>3</Pages>
  <Words>360</Words>
  <Characters>2468</Characters>
  <CharactersWithSpaces>3361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2025-09-20T08:26:00Z</dcterms:created>
  <dc:creator>Acer</dc:creator>
  <dc:description/>
  <dc:language>en-US</dc:language>
  <cp:lastModifiedBy/>
  <dcterms:modified xsi:type="dcterms:W3CDTF">2025-10-21T10:24:04Z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